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仿宋" w:hAnsi="仿宋" w:eastAsia="仿宋"/>
          <w:sz w:val="32"/>
          <w:szCs w:val="32"/>
        </w:rPr>
      </w:pPr>
      <w:r>
        <w:rPr>
          <w:rFonts w:hint="eastAsia" w:ascii="仿宋" w:hAnsi="仿宋" w:eastAsia="仿宋"/>
          <w:sz w:val="32"/>
          <w:szCs w:val="32"/>
        </w:rPr>
        <w:t>1、依照国家和省颁布的法律、法规和政策，制定地方性统计工作规章制度和统计现代化建设计划，检查。监督统计法律、法规的实施。</w:t>
      </w:r>
    </w:p>
    <w:p>
      <w:pPr>
        <w:spacing w:line="584" w:lineRule="exact"/>
        <w:ind w:firstLine="660"/>
        <w:rPr>
          <w:rFonts w:ascii="仿宋" w:hAnsi="仿宋" w:eastAsia="仿宋"/>
          <w:sz w:val="32"/>
          <w:szCs w:val="32"/>
        </w:rPr>
      </w:pPr>
      <w:r>
        <w:rPr>
          <w:rFonts w:hint="eastAsia" w:ascii="仿宋" w:hAnsi="仿宋" w:eastAsia="仿宋"/>
          <w:sz w:val="32"/>
          <w:szCs w:val="32"/>
        </w:rPr>
        <w:t>2、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spacing w:line="584" w:lineRule="exact"/>
        <w:ind w:firstLine="660"/>
        <w:rPr>
          <w:rFonts w:ascii="仿宋" w:hAnsi="仿宋" w:eastAsia="仿宋"/>
          <w:sz w:val="32"/>
          <w:szCs w:val="32"/>
        </w:rPr>
      </w:pPr>
      <w:r>
        <w:rPr>
          <w:rFonts w:hint="eastAsia" w:ascii="仿宋" w:hAnsi="仿宋" w:eastAsia="仿宋"/>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spacing w:line="584" w:lineRule="exact"/>
        <w:ind w:firstLine="660"/>
        <w:rPr>
          <w:rFonts w:ascii="仿宋" w:hAnsi="仿宋" w:eastAsia="仿宋"/>
          <w:sz w:val="32"/>
          <w:szCs w:val="32"/>
        </w:rPr>
      </w:pPr>
      <w:r>
        <w:rPr>
          <w:rFonts w:hint="eastAsia" w:ascii="仿宋" w:hAnsi="仿宋" w:eastAsia="仿宋"/>
          <w:sz w:val="32"/>
          <w:szCs w:val="32"/>
        </w:rPr>
        <w:t>4、统一核定、管理全县性的基本统计资料，发布全县国民经济和社会发展情况的统计信息。</w:t>
      </w:r>
    </w:p>
    <w:p>
      <w:pPr>
        <w:spacing w:line="584" w:lineRule="exact"/>
        <w:ind w:firstLine="660"/>
        <w:rPr>
          <w:rFonts w:ascii="Times New Roman" w:hAnsi="Times New Roman" w:eastAsia="仿宋_GB2312" w:cs="Times New Roman"/>
          <w:sz w:val="32"/>
          <w:szCs w:val="32"/>
        </w:rPr>
      </w:pPr>
      <w:r>
        <w:rPr>
          <w:rFonts w:hint="eastAsia" w:ascii="仿宋" w:hAnsi="仿宋" w:eastAsia="仿宋"/>
          <w:sz w:val="32"/>
          <w:szCs w:val="32"/>
        </w:rPr>
        <w:t>5、承办县委、县政府交办的其他事项</w:t>
      </w:r>
      <w:r>
        <w:rPr>
          <w:rFonts w:hint="eastAsia" w:ascii="仿宋" w:hAnsi="仿宋" w:eastAsia="仿宋"/>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香河县</w:t>
            </w:r>
            <w:r>
              <w:rPr>
                <w:rFonts w:ascii="Times New Roman" w:hAnsi="Times New Roman" w:eastAsia="仿宋_GB2312" w:cs="Times New Roman"/>
                <w:b/>
              </w:rPr>
              <w:t>统计局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r>
              <w:rPr>
                <w:rFonts w:ascii="Times New Roman" w:hAnsi="Times New Roman" w:eastAsia="仿宋_GB2312" w:cs="Times New Roman"/>
                <w:b/>
              </w:rPr>
              <w:t>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530.87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465.11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65.76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91.27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91.27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财预74号在职人员工资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全国城乡划分清查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日常业务费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val="en-US" w:eastAsia="zh-CN"/>
        </w:rPr>
        <w:t>减少156.86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减少130.13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减少26.73</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65.76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1、规划、协调全县社会、经济统计信息咨询服务活动，积极培育和发展信息咨询服务市场，接受国内外统计信息用户的委托，承担各项统计的调查任务。</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2、强化全局意识。从大局出发，从促进全县经济社会发</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展的实际出发，围绕县委、县政府的中心工作，在统计分析上下功夫，进一步提高分析、监测水平，进行周密的研究规划，树立精品意识，及时提供针对性强的服务。同时要建立起较为完善的统计监测体系，提高对经济社会运行的预测性和把握能力，树立统计服务责任意识，建立完善的奖励机制，把统计服务做强做大。</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强化时效意识。要在第一时间反映问题、搞好服务，使服务于决策之前，使统计工作成为决策不可或缺的组成部分。加大对基层统计报表单位统计工作的管理力度，协调解决好街道及社区统计单位统计人员、办公设施和必要的统计调查条件，使基层统计单位能够按照上级统计部门的要求，有健全的机构和人员，能准确及时全面的提供各种统计资料，达到提高统计数据质量的目的。</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4、规范企业统计台帐、核算办法和处理程序，确保主要数据不出问题，相关指标经得起检查。</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一、香河县统计局主要职责</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1、依照国家和省颁布的法律、法规和政策，制定地方性统计工作规章制度和统计现代化建设计划，检查。监督统计法律、法规的实施。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4、统一核定、管理全县性的基本统计资料，发布全县国民经济和社会发展情况的统计信息。</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5、承办县委、县政府交办的其他事项。</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二、部门预算单位构成</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香河县统计局部门预算为县本级预算，没有下属单位。</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一、实现年度发展规划目标的保障措施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香河县统计局本年度发展规划</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1、组织全县统计专业资格考试和评审工作，负责全县统计人员持证上岗资格的培训、申报。</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2、在县政府统一领导下，完成国家、省、市布置的城镇住户基本情况抽样调查、城乡划分清查工作、经济普查及各项调查工作。 </w:t>
      </w:r>
    </w:p>
    <w:p>
      <w:pPr>
        <w:spacing w:line="584"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3、协调各镇（乡）、各部门社会经济调查，汇总、整理全县基本统计资料；对国民经济、科技进步和社会发展等情况进行统计分析、预测、监督和考核，向县委、县政府及有关部门提供统计信息和咨询建议。 </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9600" w:type="dxa"/>
        <w:tblInd w:w="0" w:type="dxa"/>
        <w:tblLayout w:type="fixed"/>
        <w:tblCellMar>
          <w:top w:w="15" w:type="dxa"/>
          <w:left w:w="15" w:type="dxa"/>
          <w:bottom w:w="15" w:type="dxa"/>
          <w:right w:w="15" w:type="dxa"/>
        </w:tblCellMar>
      </w:tblPr>
      <w:tblGrid>
        <w:gridCol w:w="975"/>
        <w:gridCol w:w="1140"/>
        <w:gridCol w:w="1035"/>
        <w:gridCol w:w="1395"/>
        <w:gridCol w:w="1635"/>
        <w:gridCol w:w="660"/>
        <w:gridCol w:w="585"/>
        <w:gridCol w:w="990"/>
        <w:gridCol w:w="1185"/>
      </w:tblGrid>
      <w:tr>
        <w:tblPrEx>
          <w:tblCellMar>
            <w:top w:w="15" w:type="dxa"/>
            <w:left w:w="15" w:type="dxa"/>
            <w:bottom w:w="15" w:type="dxa"/>
            <w:right w:w="15" w:type="dxa"/>
          </w:tblCellMar>
        </w:tblPrEx>
        <w:trPr>
          <w:trHeight w:val="600" w:hRule="atLeast"/>
        </w:trPr>
        <w:tc>
          <w:tcPr>
            <w:tcW w:w="9600" w:type="dxa"/>
            <w:gridSpan w:val="9"/>
            <w:shd w:val="clear" w:color="auto" w:fill="FFFFFF"/>
            <w:vAlign w:val="center"/>
          </w:tcPr>
          <w:p>
            <w:pPr>
              <w:widowControl/>
              <w:jc w:val="center"/>
              <w:rPr>
                <w:rFonts w:ascii="宋体" w:hAnsi="宋体" w:cs="宋体"/>
                <w:color w:val="000000"/>
                <w:kern w:val="0"/>
                <w:sz w:val="44"/>
                <w:szCs w:val="44"/>
              </w:rPr>
            </w:pPr>
            <w:r>
              <w:rPr>
                <w:rFonts w:hint="eastAsia" w:ascii="宋体" w:hAnsi="宋体" w:cs="宋体"/>
                <w:color w:val="000000"/>
                <w:kern w:val="0"/>
                <w:sz w:val="44"/>
                <w:szCs w:val="44"/>
              </w:rPr>
              <w:t>预算项目绩效信息表</w:t>
            </w: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评（扣）分标准</w:t>
            </w:r>
          </w:p>
        </w:tc>
        <w:tc>
          <w:tcPr>
            <w:tcW w:w="22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指标值确定依据</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举办培训班次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举办培训班次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优：大于等于4次，良大于等于3次，中;大于等于2次，差：小于2次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4.00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根据项目实施计划</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质量指标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培训覆盖率</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培训对象数量/应培训对象数量的比率</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95.00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百分比</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根据项目实施计划</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时效指标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项目进度</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按时完成</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优：大于等于12月前完成，差：12月底前未完成</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年</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根据项目实施依据</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成本指标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当年项目支出</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不超过当年财政预算规模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根据项目资金计划</w:t>
            </w: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对社会影响力</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对经济社会发展产生长期的重要影响</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优：大于等于发挥时间1年，差：小于1年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推动经济高质量发展</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根据项目预期效果</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业务保障能力提升情况</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保证香河县统计数据，为社会科学研究提供文献信息数据支持。</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促进人口长期均衡发展，科学制定国民经济和社会发展规划</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根据项目预期效果</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受益群体满意度</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参加调查群众到达满意以上的结果占比</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95.00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百分比</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根据满意度调查问卷</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cs="宋体"/>
          <w:b/>
          <w:bCs/>
          <w:color w:val="000000"/>
          <w:kern w:val="0"/>
          <w:sz w:val="18"/>
          <w:szCs w:val="18"/>
        </w:rPr>
        <w:sectPr>
          <w:footerReference r:id="rId3" w:type="default"/>
          <w:pgSz w:w="11907" w:h="16839"/>
          <w:pgMar w:top="1020" w:right="1361" w:bottom="1020" w:left="136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300" w:lineRule="exact"/>
        <w:ind w:firstLine="420" w:firstLineChars="200"/>
        <w:jc w:val="left"/>
        <w:outlineLvl w:val="1"/>
        <w:rPr>
          <w:rFonts w:hint="eastAsia" w:ascii="Times New Roman" w:hAnsi="宋体" w:eastAsia="方正仿宋_GBK" w:cs="Times New Roman"/>
          <w:lang w:val="en-US" w:eastAsia="zh-CN"/>
        </w:rPr>
      </w:pPr>
    </w:p>
    <w:p>
      <w:pPr>
        <w:spacing w:line="300" w:lineRule="exact"/>
        <w:ind w:firstLine="420" w:firstLineChars="200"/>
        <w:jc w:val="left"/>
        <w:outlineLvl w:val="1"/>
        <w:rPr>
          <w:rFonts w:hint="eastAsia" w:ascii="Times New Roman" w:hAnsi="宋体" w:eastAsia="方正仿宋_GBK" w:cs="Times New Roman"/>
          <w:lang w:val="en-US" w:eastAsia="zh-CN"/>
        </w:rPr>
      </w:pP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1.冀财预【2021】74号在职人员工资支出绩效目标表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13102422P00796210041C</w:t>
            </w:r>
          </w:p>
        </w:tc>
        <w:tc>
          <w:tcPr>
            <w:tcW w:w="1327" w:type="dxa"/>
          </w:tcPr>
          <w:p/>
        </w:tc>
        <w:tc>
          <w:tcPr>
            <w:tcW w:w="1327" w:type="dxa"/>
            <w:vAlign w:val="center"/>
          </w:tcPr>
          <w:p>
            <w:pPr>
              <w:pStyle w:val="14"/>
            </w:pPr>
            <w:r>
              <w:t>项目名称</w:t>
            </w:r>
          </w:p>
        </w:tc>
        <w:tc>
          <w:tcPr>
            <w:tcW w:w="1327" w:type="dxa"/>
            <w:vAlign w:val="center"/>
          </w:tcPr>
          <w:p>
            <w:pPr>
              <w:pStyle w:val="15"/>
            </w:pPr>
            <w:r>
              <w:t>冀财预【2021】74号在职人员工资支出</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22.27</w:t>
            </w:r>
          </w:p>
        </w:tc>
        <w:tc>
          <w:tcPr>
            <w:tcW w:w="1327" w:type="dxa"/>
            <w:vAlign w:val="center"/>
          </w:tcPr>
          <w:p>
            <w:pPr>
              <w:pStyle w:val="14"/>
            </w:pPr>
            <w:r>
              <w:t>其中：财政    资金</w:t>
            </w:r>
          </w:p>
        </w:tc>
        <w:tc>
          <w:tcPr>
            <w:tcW w:w="1327" w:type="dxa"/>
            <w:vAlign w:val="center"/>
          </w:tcPr>
          <w:p>
            <w:pPr>
              <w:pStyle w:val="15"/>
            </w:pPr>
            <w:r>
              <w:t>22.27</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在职人员工资支出</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100%</w:t>
            </w:r>
          </w:p>
        </w:tc>
        <w:tc>
          <w:tcPr>
            <w:tcW w:w="1327" w:type="dxa"/>
          </w:tcPr>
          <w:p/>
        </w:tc>
        <w:tc>
          <w:tcPr>
            <w:tcW w:w="1327" w:type="dxa"/>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 xml:space="preserve"> </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1.冀财预（2021）74号在职人员工资支出</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支付在职人员经费</w:t>
            </w:r>
          </w:p>
        </w:tc>
        <w:tc>
          <w:tcPr>
            <w:tcW w:w="1327" w:type="dxa"/>
            <w:vAlign w:val="center"/>
          </w:tcPr>
          <w:p>
            <w:pPr>
              <w:pStyle w:val="15"/>
            </w:pPr>
            <w:r>
              <w:t>支付在职人员经费</w:t>
            </w:r>
          </w:p>
        </w:tc>
        <w:tc>
          <w:tcPr>
            <w:tcW w:w="1327" w:type="dxa"/>
            <w:vAlign w:val="center"/>
          </w:tcPr>
          <w:p/>
        </w:tc>
        <w:tc>
          <w:tcPr>
            <w:tcW w:w="1327" w:type="dxa"/>
            <w:vAlign w:val="center"/>
          </w:tcPr>
          <w:p>
            <w:pPr>
              <w:pStyle w:val="15"/>
            </w:pPr>
            <w:r>
              <w:t>≥22.27万元</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资金发放率</w:t>
            </w:r>
          </w:p>
        </w:tc>
        <w:tc>
          <w:tcPr>
            <w:tcW w:w="1327" w:type="dxa"/>
            <w:vAlign w:val="center"/>
          </w:tcPr>
          <w:p>
            <w:pPr>
              <w:pStyle w:val="15"/>
            </w:pPr>
            <w:r>
              <w:t>资金发放率</w:t>
            </w:r>
          </w:p>
        </w:tc>
        <w:tc>
          <w:tcPr>
            <w:tcW w:w="1327" w:type="dxa"/>
            <w:vAlign w:val="center"/>
          </w:tcPr>
          <w:p/>
        </w:tc>
        <w:tc>
          <w:tcPr>
            <w:tcW w:w="1327" w:type="dxa"/>
            <w:vAlign w:val="center"/>
          </w:tcPr>
          <w:p>
            <w:pPr>
              <w:pStyle w:val="15"/>
            </w:pPr>
            <w:r>
              <w:t>100百分比</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工资发放及时率</w:t>
            </w:r>
          </w:p>
        </w:tc>
        <w:tc>
          <w:tcPr>
            <w:tcW w:w="1327" w:type="dxa"/>
            <w:vAlign w:val="center"/>
          </w:tcPr>
          <w:p>
            <w:pPr>
              <w:pStyle w:val="15"/>
            </w:pPr>
            <w:r>
              <w:t>工资发放及时率</w:t>
            </w:r>
          </w:p>
        </w:tc>
        <w:tc>
          <w:tcPr>
            <w:tcW w:w="1327" w:type="dxa"/>
            <w:vAlign w:val="center"/>
          </w:tcPr>
          <w:p/>
        </w:tc>
        <w:tc>
          <w:tcPr>
            <w:tcW w:w="1327" w:type="dxa"/>
            <w:vAlign w:val="center"/>
          </w:tcPr>
          <w:p>
            <w:pPr>
              <w:pStyle w:val="15"/>
            </w:pPr>
            <w:r>
              <w:t>≥95百分比</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资金成本</w:t>
            </w:r>
          </w:p>
        </w:tc>
        <w:tc>
          <w:tcPr>
            <w:tcW w:w="1327" w:type="dxa"/>
            <w:vAlign w:val="center"/>
          </w:tcPr>
          <w:p>
            <w:pPr>
              <w:pStyle w:val="15"/>
            </w:pPr>
            <w:r>
              <w:t>资金成本</w:t>
            </w:r>
          </w:p>
        </w:tc>
        <w:tc>
          <w:tcPr>
            <w:tcW w:w="1327" w:type="dxa"/>
            <w:vAlign w:val="center"/>
          </w:tcPr>
          <w:p/>
        </w:tc>
        <w:tc>
          <w:tcPr>
            <w:tcW w:w="1327" w:type="dxa"/>
            <w:vAlign w:val="center"/>
          </w:tcPr>
          <w:p>
            <w:pPr>
              <w:pStyle w:val="15"/>
            </w:pPr>
            <w:r>
              <w:t>≥22.27万元</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社会影响力</w:t>
            </w:r>
          </w:p>
        </w:tc>
        <w:tc>
          <w:tcPr>
            <w:tcW w:w="1327" w:type="dxa"/>
            <w:vAlign w:val="center"/>
          </w:tcPr>
          <w:p>
            <w:pPr>
              <w:pStyle w:val="15"/>
            </w:pPr>
            <w:r>
              <w:t>社会影响力</w:t>
            </w:r>
          </w:p>
        </w:tc>
        <w:tc>
          <w:tcPr>
            <w:tcW w:w="1327" w:type="dxa"/>
            <w:vAlign w:val="center"/>
          </w:tcPr>
          <w:p/>
        </w:tc>
        <w:tc>
          <w:tcPr>
            <w:tcW w:w="1327" w:type="dxa"/>
            <w:vAlign w:val="center"/>
          </w:tcPr>
          <w:p>
            <w:pPr>
              <w:pStyle w:val="15"/>
            </w:pPr>
            <w:r>
              <w:t>社会影响力</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职工权益保障</w:t>
            </w:r>
          </w:p>
        </w:tc>
        <w:tc>
          <w:tcPr>
            <w:tcW w:w="1327" w:type="dxa"/>
            <w:vAlign w:val="center"/>
          </w:tcPr>
          <w:p>
            <w:pPr>
              <w:pStyle w:val="15"/>
            </w:pPr>
            <w:r>
              <w:t>职工权益保障</w:t>
            </w:r>
          </w:p>
        </w:tc>
        <w:tc>
          <w:tcPr>
            <w:tcW w:w="1327" w:type="dxa"/>
            <w:vAlign w:val="center"/>
          </w:tcPr>
          <w:p/>
        </w:tc>
        <w:tc>
          <w:tcPr>
            <w:tcW w:w="1327" w:type="dxa"/>
            <w:vAlign w:val="center"/>
          </w:tcPr>
          <w:p>
            <w:pPr>
              <w:pStyle w:val="15"/>
            </w:pPr>
            <w:r>
              <w:t>职工权益得到了保障</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职工满意度</w:t>
            </w:r>
          </w:p>
        </w:tc>
        <w:tc>
          <w:tcPr>
            <w:tcW w:w="1327" w:type="dxa"/>
            <w:vAlign w:val="center"/>
          </w:tcPr>
          <w:p>
            <w:pPr>
              <w:pStyle w:val="15"/>
            </w:pPr>
            <w:r>
              <w:t>职工满意度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冀财预（2021）74号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2.全国城乡划分清查经费绩效目标表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13102422P00465110002L</w:t>
            </w:r>
          </w:p>
        </w:tc>
        <w:tc>
          <w:tcPr>
            <w:tcW w:w="1327" w:type="dxa"/>
          </w:tcPr>
          <w:p/>
        </w:tc>
        <w:tc>
          <w:tcPr>
            <w:tcW w:w="1327" w:type="dxa"/>
            <w:vAlign w:val="center"/>
          </w:tcPr>
          <w:p>
            <w:pPr>
              <w:pStyle w:val="14"/>
            </w:pPr>
            <w:r>
              <w:t>项目名称</w:t>
            </w:r>
          </w:p>
        </w:tc>
        <w:tc>
          <w:tcPr>
            <w:tcW w:w="1327" w:type="dxa"/>
            <w:vAlign w:val="center"/>
          </w:tcPr>
          <w:p>
            <w:pPr>
              <w:pStyle w:val="15"/>
            </w:pPr>
            <w:r>
              <w:t>全国城乡划分清查经费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在2022年进行培训、调研、印刷等工作，建立统计代码和城乡划分代码库，为各项普查、全面调查、抽样调查、专项调查等提供统一统计代码和城乡划分代码库。</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1.在2022年进行培训、调研、印刷等工作，建立统计代码和城乡划分代码库，为各项普查、全面调查、抽样调查、专项调查等提供统一统计代码和城乡划分代码库。</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清查区域个数</w:t>
            </w:r>
          </w:p>
        </w:tc>
        <w:tc>
          <w:tcPr>
            <w:tcW w:w="1327" w:type="dxa"/>
            <w:vAlign w:val="center"/>
          </w:tcPr>
          <w:p>
            <w:pPr>
              <w:pStyle w:val="15"/>
            </w:pPr>
            <w:r>
              <w:t>对香河县所在区域进行清查工作</w:t>
            </w:r>
          </w:p>
        </w:tc>
        <w:tc>
          <w:tcPr>
            <w:tcW w:w="1327" w:type="dxa"/>
            <w:vAlign w:val="center"/>
          </w:tcPr>
          <w:p/>
        </w:tc>
        <w:tc>
          <w:tcPr>
            <w:tcW w:w="1327" w:type="dxa"/>
            <w:vAlign w:val="center"/>
          </w:tcPr>
          <w:p>
            <w:pPr>
              <w:pStyle w:val="15"/>
            </w:pPr>
            <w:r>
              <w:t>≥300个</w:t>
            </w:r>
          </w:p>
        </w:tc>
        <w:tc>
          <w:tcPr>
            <w:tcW w:w="1327" w:type="dxa"/>
            <w:vAlign w:val="center"/>
          </w:tcPr>
          <w:p>
            <w:pPr>
              <w:pStyle w:val="15"/>
            </w:pPr>
            <w:r>
              <w:t>《河北省统计局关于城乡划分清查工作的通知》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清查区域覆盖率</w:t>
            </w:r>
          </w:p>
        </w:tc>
        <w:tc>
          <w:tcPr>
            <w:tcW w:w="1327" w:type="dxa"/>
            <w:vAlign w:val="center"/>
          </w:tcPr>
          <w:p>
            <w:pPr>
              <w:pStyle w:val="15"/>
            </w:pPr>
            <w:r>
              <w:t>清查区域与计划清查区域之比</w:t>
            </w:r>
          </w:p>
        </w:tc>
        <w:tc>
          <w:tcPr>
            <w:tcW w:w="1327" w:type="dxa"/>
            <w:vAlign w:val="center"/>
          </w:tcPr>
          <w:p/>
        </w:tc>
        <w:tc>
          <w:tcPr>
            <w:tcW w:w="1327" w:type="dxa"/>
            <w:vAlign w:val="center"/>
          </w:tcPr>
          <w:p>
            <w:pPr>
              <w:pStyle w:val="15"/>
            </w:pPr>
            <w:r>
              <w:t>≥100百分比</w:t>
            </w:r>
          </w:p>
        </w:tc>
        <w:tc>
          <w:tcPr>
            <w:tcW w:w="1327" w:type="dxa"/>
            <w:vAlign w:val="center"/>
          </w:tcPr>
          <w:p>
            <w:pPr>
              <w:pStyle w:val="15"/>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项目实施计划</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2022年12月底前完工</w:t>
            </w:r>
          </w:p>
        </w:tc>
        <w:tc>
          <w:tcPr>
            <w:tcW w:w="1327" w:type="dxa"/>
            <w:vAlign w:val="center"/>
          </w:tcPr>
          <w:p>
            <w:pPr>
              <w:pStyle w:val="15"/>
            </w:pPr>
            <w:r>
              <w:t>根据工作计划，实施方案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≤5万元</w:t>
            </w:r>
          </w:p>
        </w:tc>
        <w:tc>
          <w:tcPr>
            <w:tcW w:w="1327" w:type="dxa"/>
            <w:vAlign w:val="center"/>
          </w:tcPr>
          <w:p>
            <w:pPr>
              <w:pStyle w:val="15"/>
            </w:pPr>
            <w:r>
              <w:t>项目资金使用计划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为反映城镇化率提供城乡地域资料</w:t>
            </w:r>
          </w:p>
        </w:tc>
        <w:tc>
          <w:tcPr>
            <w:tcW w:w="1327" w:type="dxa"/>
            <w:vAlign w:val="center"/>
          </w:tcPr>
          <w:p>
            <w:pPr>
              <w:pStyle w:val="15"/>
            </w:pPr>
            <w:r>
              <w:t>组织本地区的城乡划分清查工作，按时完成清查工作任务</w:t>
            </w:r>
          </w:p>
        </w:tc>
        <w:tc>
          <w:tcPr>
            <w:tcW w:w="1327" w:type="dxa"/>
            <w:vAlign w:val="center"/>
          </w:tcPr>
          <w:p/>
        </w:tc>
        <w:tc>
          <w:tcPr>
            <w:tcW w:w="1327" w:type="dxa"/>
            <w:vAlign w:val="center"/>
          </w:tcPr>
          <w:p>
            <w:pPr>
              <w:pStyle w:val="15"/>
            </w:pPr>
            <w:r>
              <w:t>提供合格数据</w:t>
            </w:r>
          </w:p>
        </w:tc>
        <w:tc>
          <w:tcPr>
            <w:tcW w:w="1327" w:type="dxa"/>
            <w:vAlign w:val="center"/>
          </w:tcPr>
          <w:p>
            <w:pPr>
              <w:pStyle w:val="15"/>
            </w:pPr>
            <w:r>
              <w:t>根据项目文件依据，及预期达到的效果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起到准确评价我国城镇化水平、合理规划城乡布局、统筹城乡发展的作用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根据项目文件依据，及预期达到的效果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村镇、街道满意度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根据满意度调查结果</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3.全国劳动力资源和人口变动调查经费绩效目标表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13102422P004UA410002C</w:t>
            </w:r>
          </w:p>
        </w:tc>
        <w:tc>
          <w:tcPr>
            <w:tcW w:w="1327" w:type="dxa"/>
          </w:tcPr>
          <w:p/>
        </w:tc>
        <w:tc>
          <w:tcPr>
            <w:tcW w:w="1327" w:type="dxa"/>
            <w:vAlign w:val="center"/>
          </w:tcPr>
          <w:p>
            <w:pPr>
              <w:pStyle w:val="14"/>
            </w:pPr>
            <w:r>
              <w:t>项目名称</w:t>
            </w:r>
          </w:p>
        </w:tc>
        <w:tc>
          <w:tcPr>
            <w:tcW w:w="1327" w:type="dxa"/>
            <w:vAlign w:val="center"/>
          </w:tcPr>
          <w:p>
            <w:pPr>
              <w:pStyle w:val="15"/>
            </w:pPr>
            <w:r>
              <w:t>全国劳动力资源和人口变动调查经费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在2022年进行培训、调研、印刷、入户调查等工作，为人民政府制定国民经济和社会发展计划，调整完善有关政策促进人口长期均衡发展，提供可靠的人口数据。</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1.在2022年进行培训、调研、印刷、入户调查等工作，为人民政府制定国民经济和社会发展计划，调整完善有关政策促进人口长期均衡发展，提供可靠的人口数据。</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抽查户数</w:t>
            </w:r>
          </w:p>
        </w:tc>
        <w:tc>
          <w:tcPr>
            <w:tcW w:w="1327" w:type="dxa"/>
            <w:vAlign w:val="center"/>
          </w:tcPr>
          <w:p>
            <w:pPr>
              <w:pStyle w:val="15"/>
            </w:pPr>
            <w:r>
              <w:t>抽查劳动力资源和人口变工对象</w:t>
            </w:r>
          </w:p>
        </w:tc>
        <w:tc>
          <w:tcPr>
            <w:tcW w:w="1327" w:type="dxa"/>
            <w:vAlign w:val="center"/>
          </w:tcPr>
          <w:p/>
        </w:tc>
        <w:tc>
          <w:tcPr>
            <w:tcW w:w="1327" w:type="dxa"/>
            <w:vAlign w:val="center"/>
          </w:tcPr>
          <w:p>
            <w:pPr>
              <w:pStyle w:val="15"/>
            </w:pPr>
            <w:r>
              <w:t>≥800</w:t>
            </w:r>
          </w:p>
        </w:tc>
        <w:tc>
          <w:tcPr>
            <w:tcW w:w="1327" w:type="dxa"/>
            <w:vAlign w:val="center"/>
          </w:tcPr>
          <w:p>
            <w:pPr>
              <w:pStyle w:val="15"/>
            </w:pPr>
            <w:r>
              <w:t>《关于建设全省劳动力调查制度的通知》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调查对象覆盖率</w:t>
            </w:r>
          </w:p>
        </w:tc>
        <w:tc>
          <w:tcPr>
            <w:tcW w:w="1327" w:type="dxa"/>
            <w:vAlign w:val="center"/>
          </w:tcPr>
          <w:p>
            <w:pPr>
              <w:pStyle w:val="15"/>
            </w:pPr>
            <w:r>
              <w:t>选取样本数量占调查对象总量的比率</w:t>
            </w:r>
          </w:p>
        </w:tc>
        <w:tc>
          <w:tcPr>
            <w:tcW w:w="1327" w:type="dxa"/>
            <w:vAlign w:val="center"/>
          </w:tcPr>
          <w:p/>
        </w:tc>
        <w:tc>
          <w:tcPr>
            <w:tcW w:w="1327" w:type="dxa"/>
            <w:vAlign w:val="center"/>
          </w:tcPr>
          <w:p>
            <w:pPr>
              <w:pStyle w:val="15"/>
            </w:pPr>
            <w:r>
              <w:t>≥95</w:t>
            </w:r>
          </w:p>
        </w:tc>
        <w:tc>
          <w:tcPr>
            <w:tcW w:w="1327" w:type="dxa"/>
            <w:vAlign w:val="center"/>
          </w:tcPr>
          <w:p>
            <w:pPr>
              <w:pStyle w:val="15"/>
            </w:pPr>
            <w:r>
              <w:t>根据每年工作抽查比例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抽样实地核查</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2022-09-30T16:00:00.000Z</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≤5万元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及时反映劳动力资源和就业形态</w:t>
            </w:r>
          </w:p>
        </w:tc>
        <w:tc>
          <w:tcPr>
            <w:tcW w:w="1327" w:type="dxa"/>
            <w:vAlign w:val="center"/>
          </w:tcPr>
          <w:p>
            <w:pPr>
              <w:pStyle w:val="15"/>
            </w:pPr>
            <w:r>
              <w:t>准确把握人口变动及人口计划执行情况</w:t>
            </w:r>
          </w:p>
        </w:tc>
        <w:tc>
          <w:tcPr>
            <w:tcW w:w="1327" w:type="dxa"/>
            <w:vAlign w:val="center"/>
          </w:tcPr>
          <w:p/>
        </w:tc>
        <w:tc>
          <w:tcPr>
            <w:tcW w:w="1327" w:type="dxa"/>
            <w:vAlign w:val="center"/>
          </w:tcPr>
          <w:p>
            <w:pPr>
              <w:pStyle w:val="15"/>
            </w:pPr>
            <w:r>
              <w:t>对本辖区的调查工作全面负责</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为重要的国情国力提供调查依据</w:t>
            </w:r>
          </w:p>
        </w:tc>
        <w:tc>
          <w:tcPr>
            <w:tcW w:w="1327" w:type="dxa"/>
            <w:vAlign w:val="center"/>
          </w:tcPr>
          <w:p/>
        </w:tc>
        <w:tc>
          <w:tcPr>
            <w:tcW w:w="1327" w:type="dxa"/>
            <w:vAlign w:val="center"/>
          </w:tcPr>
          <w:p>
            <w:pPr>
              <w:pStyle w:val="15"/>
            </w:pPr>
            <w:r>
              <w:t>≥1</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被普查人员满意度</w:t>
            </w:r>
          </w:p>
        </w:tc>
        <w:tc>
          <w:tcPr>
            <w:tcW w:w="1327" w:type="dxa"/>
            <w:vAlign w:val="center"/>
          </w:tcP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4.日常业务费绩效目标表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13102422P002TQE10002D</w:t>
            </w:r>
          </w:p>
        </w:tc>
        <w:tc>
          <w:tcPr>
            <w:tcW w:w="1327" w:type="dxa"/>
          </w:tcPr>
          <w:p/>
        </w:tc>
        <w:tc>
          <w:tcPr>
            <w:tcW w:w="1327" w:type="dxa"/>
            <w:vAlign w:val="center"/>
          </w:tcPr>
          <w:p>
            <w:pPr>
              <w:pStyle w:val="14"/>
            </w:pPr>
            <w:r>
              <w:t>项目名称</w:t>
            </w:r>
          </w:p>
        </w:tc>
        <w:tc>
          <w:tcPr>
            <w:tcW w:w="1327" w:type="dxa"/>
            <w:vAlign w:val="center"/>
          </w:tcPr>
          <w:p>
            <w:pPr>
              <w:pStyle w:val="15"/>
            </w:pPr>
            <w:r>
              <w:t>日常业务费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6.00</w:t>
            </w:r>
          </w:p>
        </w:tc>
        <w:tc>
          <w:tcPr>
            <w:tcW w:w="1327" w:type="dxa"/>
            <w:vAlign w:val="center"/>
          </w:tcPr>
          <w:p>
            <w:pPr>
              <w:pStyle w:val="14"/>
            </w:pPr>
            <w:r>
              <w:t>其中：财政    资金</w:t>
            </w:r>
          </w:p>
        </w:tc>
        <w:tc>
          <w:tcPr>
            <w:tcW w:w="1327" w:type="dxa"/>
            <w:vAlign w:val="center"/>
          </w:tcPr>
          <w:p>
            <w:pPr>
              <w:pStyle w:val="15"/>
            </w:pPr>
            <w:r>
              <w:t>6.00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发放人员工资</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1.根据2022年工作部署，开展日常业务费的实施，发放3人的工资及电费，提升了本单位的基本运转保障，促进了工作水平的总体提升</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日常业务工作</w:t>
            </w:r>
          </w:p>
        </w:tc>
        <w:tc>
          <w:tcPr>
            <w:tcW w:w="1327" w:type="dxa"/>
            <w:vAlign w:val="center"/>
          </w:tcPr>
          <w:p>
            <w:pPr>
              <w:pStyle w:val="15"/>
            </w:pPr>
            <w:r>
              <w:t>电费，工资</w:t>
            </w:r>
          </w:p>
        </w:tc>
        <w:tc>
          <w:tcPr>
            <w:tcW w:w="1327" w:type="dxa"/>
            <w:vAlign w:val="center"/>
          </w:tcPr>
          <w:p/>
        </w:tc>
        <w:tc>
          <w:tcPr>
            <w:tcW w:w="1327" w:type="dxa"/>
            <w:vAlign w:val="center"/>
          </w:tcPr>
          <w:p>
            <w:pPr>
              <w:pStyle w:val="15"/>
            </w:pPr>
            <w:r>
              <w:t>12月</w:t>
            </w:r>
          </w:p>
        </w:tc>
        <w:tc>
          <w:tcPr>
            <w:tcW w:w="1327" w:type="dxa"/>
            <w:vAlign w:val="center"/>
          </w:tcPr>
          <w:p>
            <w:pPr>
              <w:pStyle w:val="15"/>
            </w:pPr>
            <w:r>
              <w:t>根据项目申报内容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按时支出工资和电费</w:t>
            </w:r>
          </w:p>
        </w:tc>
        <w:tc>
          <w:tcPr>
            <w:tcW w:w="1327" w:type="dxa"/>
            <w:vAlign w:val="center"/>
          </w:tcPr>
          <w:p>
            <w:pPr>
              <w:pStyle w:val="15"/>
            </w:pPr>
            <w:r>
              <w:t>按时支出工资和电费</w:t>
            </w:r>
          </w:p>
        </w:tc>
        <w:tc>
          <w:tcPr>
            <w:tcW w:w="1327" w:type="dxa"/>
            <w:vAlign w:val="center"/>
          </w:tcPr>
          <w:p/>
        </w:tc>
        <w:tc>
          <w:tcPr>
            <w:tcW w:w="1327" w:type="dxa"/>
            <w:vAlign w:val="center"/>
          </w:tcPr>
          <w:p>
            <w:pPr>
              <w:pStyle w:val="15"/>
            </w:pPr>
            <w:r>
              <w:t>12月</w:t>
            </w:r>
          </w:p>
        </w:tc>
        <w:tc>
          <w:tcPr>
            <w:tcW w:w="1327" w:type="dxa"/>
            <w:vAlign w:val="center"/>
          </w:tcPr>
          <w:p>
            <w:pPr>
              <w:pStyle w:val="15"/>
            </w:pPr>
            <w:r>
              <w:t>根据市场标准价格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项目立项审批时间</w:t>
            </w:r>
          </w:p>
        </w:tc>
        <w:tc>
          <w:tcPr>
            <w:tcW w:w="1327" w:type="dxa"/>
            <w:vAlign w:val="center"/>
          </w:tcPr>
          <w:p>
            <w:pPr>
              <w:pStyle w:val="15"/>
            </w:pPr>
            <w:r>
              <w:t>根据项目实施计划确定项目立项审批时间</w:t>
            </w:r>
          </w:p>
        </w:tc>
        <w:tc>
          <w:tcPr>
            <w:tcW w:w="1327" w:type="dxa"/>
            <w:vAlign w:val="center"/>
          </w:tcPr>
          <w:p/>
        </w:tc>
        <w:tc>
          <w:tcPr>
            <w:tcW w:w="1327" w:type="dxa"/>
            <w:vAlign w:val="center"/>
          </w:tcPr>
          <w:p>
            <w:pPr>
              <w:pStyle w:val="15"/>
            </w:pPr>
            <w:r>
              <w:t>2022年底完成</w:t>
            </w:r>
          </w:p>
        </w:tc>
        <w:tc>
          <w:tcPr>
            <w:tcW w:w="1327" w:type="dxa"/>
            <w:vAlign w:val="center"/>
          </w:tcPr>
          <w:p>
            <w:pPr>
              <w:pStyle w:val="15"/>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≤6万元</w:t>
            </w:r>
          </w:p>
        </w:tc>
        <w:tc>
          <w:tcPr>
            <w:tcW w:w="1327" w:type="dxa"/>
            <w:vAlign w:val="center"/>
          </w:tcPr>
          <w:p>
            <w:pPr>
              <w:pStyle w:val="15"/>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保障本单位的正常运转</w:t>
            </w:r>
          </w:p>
        </w:tc>
        <w:tc>
          <w:tcPr>
            <w:tcW w:w="1327" w:type="dxa"/>
            <w:vAlign w:val="center"/>
          </w:tcPr>
          <w:p>
            <w:pPr>
              <w:pStyle w:val="15"/>
            </w:pPr>
            <w:r>
              <w:t>安排日常业务费项目，用于原来由县政府办公室统一承担的水费，电费及临时工工资</w:t>
            </w:r>
          </w:p>
        </w:tc>
        <w:tc>
          <w:tcPr>
            <w:tcW w:w="1327" w:type="dxa"/>
            <w:vAlign w:val="center"/>
          </w:tcPr>
          <w:p/>
        </w:tc>
        <w:tc>
          <w:tcPr>
            <w:tcW w:w="1327" w:type="dxa"/>
            <w:vAlign w:val="center"/>
          </w:tcPr>
          <w:p>
            <w:pPr>
              <w:pStyle w:val="15"/>
            </w:pPr>
            <w:r>
              <w:t>有一定的社会效益</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保障单位日常运行稳定的时间</w:t>
            </w:r>
          </w:p>
        </w:tc>
        <w:tc>
          <w:tcPr>
            <w:tcW w:w="1327" w:type="dxa"/>
            <w:vAlign w:val="center"/>
          </w:tcPr>
          <w:p>
            <w:pPr>
              <w:pStyle w:val="15"/>
            </w:pPr>
            <w:r>
              <w:t>通过发放工资、水电费起到保障单位日常运行稳定的作用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职工满意度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5.统计改革经费绩效目标表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13102422P00BQY3100022</w:t>
            </w:r>
          </w:p>
        </w:tc>
        <w:tc>
          <w:tcPr>
            <w:tcW w:w="1327" w:type="dxa"/>
          </w:tcPr>
          <w:p/>
        </w:tc>
        <w:tc>
          <w:tcPr>
            <w:tcW w:w="1327" w:type="dxa"/>
            <w:vAlign w:val="center"/>
          </w:tcPr>
          <w:p>
            <w:pPr>
              <w:pStyle w:val="14"/>
            </w:pPr>
            <w:r>
              <w:t>项目名称</w:t>
            </w:r>
          </w:p>
        </w:tc>
        <w:tc>
          <w:tcPr>
            <w:tcW w:w="1327" w:type="dxa"/>
            <w:vAlign w:val="center"/>
          </w:tcPr>
          <w:p>
            <w:pPr>
              <w:pStyle w:val="15"/>
            </w:pPr>
            <w:r>
              <w:t>统计改革经费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15.00</w:t>
            </w:r>
          </w:p>
        </w:tc>
        <w:tc>
          <w:tcPr>
            <w:tcW w:w="1327" w:type="dxa"/>
            <w:vAlign w:val="center"/>
          </w:tcPr>
          <w:p>
            <w:pPr>
              <w:pStyle w:val="14"/>
            </w:pPr>
            <w:r>
              <w:t>其中：财政    资金</w:t>
            </w:r>
          </w:p>
        </w:tc>
        <w:tc>
          <w:tcPr>
            <w:tcW w:w="1327" w:type="dxa"/>
            <w:vAlign w:val="center"/>
          </w:tcPr>
          <w:p>
            <w:pPr>
              <w:pStyle w:val="15"/>
            </w:pPr>
            <w:r>
              <w:t>15.00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在2022年进行法律法规培训、调研、印刷、统计改革等工作，逐步实现统计调查的科学规范、统计管理的严谨高效、统计服务</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1.在2022年进行法律法规培训、调研、印刷、统计改革等工作，逐步实现统计调查的科学规范、统计管理的严谨高效、统计服务</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网络安全设备数量</w:t>
            </w:r>
          </w:p>
        </w:tc>
        <w:tc>
          <w:tcPr>
            <w:tcW w:w="1327" w:type="dxa"/>
            <w:vAlign w:val="center"/>
          </w:tcPr>
          <w:p>
            <w:pPr>
              <w:pStyle w:val="15"/>
            </w:pPr>
            <w:r>
              <w:t>采购设备（语音网关）</w:t>
            </w:r>
          </w:p>
        </w:tc>
        <w:tc>
          <w:tcPr>
            <w:tcW w:w="1327" w:type="dxa"/>
            <w:vAlign w:val="center"/>
          </w:tcPr>
          <w:p/>
        </w:tc>
        <w:tc>
          <w:tcPr>
            <w:tcW w:w="1327" w:type="dxa"/>
            <w:vAlign w:val="center"/>
          </w:tcPr>
          <w:p>
            <w:pPr>
              <w:pStyle w:val="15"/>
            </w:pPr>
            <w:r>
              <w:t>≥1套</w:t>
            </w:r>
          </w:p>
        </w:tc>
        <w:tc>
          <w:tcPr>
            <w:tcW w:w="1327" w:type="dxa"/>
            <w:vAlign w:val="center"/>
          </w:tcPr>
          <w:p>
            <w:pPr>
              <w:pStyle w:val="15"/>
            </w:pPr>
            <w:r>
              <w:t>《关于进一步加强和改进统计工作的意见》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网络安全设备质量</w:t>
            </w:r>
          </w:p>
        </w:tc>
        <w:tc>
          <w:tcPr>
            <w:tcW w:w="1327" w:type="dxa"/>
            <w:vAlign w:val="center"/>
          </w:tcPr>
          <w:p>
            <w:pPr>
              <w:pStyle w:val="15"/>
            </w:pPr>
            <w:r>
              <w:t>设备验收合格率</w:t>
            </w:r>
          </w:p>
        </w:tc>
        <w:tc>
          <w:tcPr>
            <w:tcW w:w="1327" w:type="dxa"/>
            <w:vAlign w:val="center"/>
          </w:tcPr>
          <w:p/>
        </w:tc>
        <w:tc>
          <w:tcPr>
            <w:tcW w:w="1327" w:type="dxa"/>
            <w:vAlign w:val="center"/>
          </w:tcPr>
          <w:p>
            <w:pPr>
              <w:pStyle w:val="15"/>
            </w:pPr>
            <w:r>
              <w:t>≥100百分比</w:t>
            </w:r>
          </w:p>
        </w:tc>
        <w:tc>
          <w:tcPr>
            <w:tcW w:w="1327" w:type="dxa"/>
            <w:vAlign w:val="center"/>
          </w:tcPr>
          <w:p>
            <w:pPr>
              <w:pStyle w:val="15"/>
            </w:pPr>
            <w:r>
              <w:t>根据项目预算申请情况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项目立项审批时间</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2022年12月底</w:t>
            </w:r>
          </w:p>
        </w:tc>
        <w:tc>
          <w:tcPr>
            <w:tcW w:w="1327" w:type="dxa"/>
            <w:vAlign w:val="center"/>
          </w:tcPr>
          <w:p>
            <w:pPr>
              <w:pStyle w:val="15"/>
            </w:pPr>
            <w: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≤15万元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保障更加有效地发挥统计职能作用</w:t>
            </w:r>
          </w:p>
        </w:tc>
        <w:tc>
          <w:tcPr>
            <w:tcW w:w="1327" w:type="dxa"/>
            <w:vAlign w:val="center"/>
          </w:tcPr>
          <w:p>
            <w:pPr>
              <w:pStyle w:val="15"/>
            </w:pPr>
            <w:r>
              <w:t>逐步实现统计调查的科学规范、统计管理的严谨高效、统计服务</w:t>
            </w:r>
          </w:p>
        </w:tc>
        <w:tc>
          <w:tcPr>
            <w:tcW w:w="1327" w:type="dxa"/>
            <w:vAlign w:val="center"/>
          </w:tcPr>
          <w:p/>
        </w:tc>
        <w:tc>
          <w:tcPr>
            <w:tcW w:w="1327" w:type="dxa"/>
            <w:vAlign w:val="center"/>
          </w:tcPr>
          <w:p>
            <w:pPr>
              <w:pStyle w:val="15"/>
            </w:pPr>
            <w:r>
              <w:t>统计运作效率、数据质量和服务水平提升</w:t>
            </w:r>
          </w:p>
        </w:tc>
        <w:tc>
          <w:tcPr>
            <w:tcW w:w="1327" w:type="dxa"/>
            <w:vAlign w:val="center"/>
          </w:tcPr>
          <w:p>
            <w:pPr>
              <w:pStyle w:val="15"/>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起到进一步加强组织、领导和协调调度强化对工作的通盘谋划和整体推进对项目进行保障</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对统计改革工作的满 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6.统计基层基础建设经费绩效目标表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13102422P001WH3100029</w:t>
            </w:r>
          </w:p>
        </w:tc>
        <w:tc>
          <w:tcPr>
            <w:tcW w:w="1327" w:type="dxa"/>
          </w:tcPr>
          <w:p/>
        </w:tc>
        <w:tc>
          <w:tcPr>
            <w:tcW w:w="1327" w:type="dxa"/>
            <w:vAlign w:val="center"/>
          </w:tcPr>
          <w:p>
            <w:pPr>
              <w:pStyle w:val="14"/>
            </w:pPr>
            <w:r>
              <w:t>项目名称</w:t>
            </w:r>
          </w:p>
        </w:tc>
        <w:tc>
          <w:tcPr>
            <w:tcW w:w="1327" w:type="dxa"/>
            <w:vAlign w:val="center"/>
          </w:tcPr>
          <w:p>
            <w:pPr>
              <w:pStyle w:val="15"/>
            </w:pPr>
            <w:r>
              <w:t>统计基层基础建设经费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30.00</w:t>
            </w:r>
          </w:p>
        </w:tc>
        <w:tc>
          <w:tcPr>
            <w:tcW w:w="1327" w:type="dxa"/>
            <w:vAlign w:val="center"/>
          </w:tcPr>
          <w:p>
            <w:pPr>
              <w:pStyle w:val="14"/>
            </w:pPr>
            <w:r>
              <w:t>其中：财政    资金</w:t>
            </w:r>
          </w:p>
        </w:tc>
        <w:tc>
          <w:tcPr>
            <w:tcW w:w="1327" w:type="dxa"/>
            <w:vAlign w:val="center"/>
          </w:tcPr>
          <w:p>
            <w:pPr>
              <w:pStyle w:val="15"/>
            </w:pPr>
            <w:r>
              <w:t>30.00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根据2022年工作计划及工作部署，拨到每乡镇园区各2万元，用于基础基础建设，解决当前统计力量薄弱、人员素质不高、经费保障不足、规范管理不强等问题</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根据2022年工作计划及工作部署，拨到每乡镇园区各2万元，用于基础基础建设，解决当前统计力量薄弱、人员素质不高、经费保障不足、规范管理不强等问题，确保努力打造一支业务精通、作风扎实、适应统计改革和发展需要的基层统计队伍。</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乡镇园区数量</w:t>
            </w:r>
          </w:p>
        </w:tc>
        <w:tc>
          <w:tcPr>
            <w:tcW w:w="1327" w:type="dxa"/>
            <w:vAlign w:val="center"/>
          </w:tcPr>
          <w:p>
            <w:pPr>
              <w:pStyle w:val="15"/>
            </w:pPr>
            <w:r>
              <w:t>拨付资金的乡镇园区数量</w:t>
            </w:r>
          </w:p>
        </w:tc>
        <w:tc>
          <w:tcPr>
            <w:tcW w:w="1327" w:type="dxa"/>
            <w:vAlign w:val="center"/>
          </w:tcPr>
          <w:p/>
        </w:tc>
        <w:tc>
          <w:tcPr>
            <w:tcW w:w="1327" w:type="dxa"/>
            <w:vAlign w:val="center"/>
          </w:tcPr>
          <w:p>
            <w:pPr>
              <w:pStyle w:val="15"/>
            </w:pPr>
            <w:r>
              <w:t>15个</w:t>
            </w:r>
          </w:p>
        </w:tc>
        <w:tc>
          <w:tcPr>
            <w:tcW w:w="1327" w:type="dxa"/>
            <w:vAlign w:val="center"/>
          </w:tcPr>
          <w:p>
            <w:pPr>
              <w:pStyle w:val="15"/>
            </w:pPr>
            <w:r>
              <w:t>《关于进一步加强和改进统计基层基础建设的通知》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拨付比例</w:t>
            </w:r>
          </w:p>
        </w:tc>
        <w:tc>
          <w:tcPr>
            <w:tcW w:w="1327" w:type="dxa"/>
            <w:vAlign w:val="center"/>
          </w:tcPr>
          <w:p>
            <w:pPr>
              <w:pStyle w:val="15"/>
            </w:pPr>
            <w:r>
              <w:t>拨付比例</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项目资金拨付</w:t>
            </w:r>
          </w:p>
        </w:tc>
        <w:tc>
          <w:tcPr>
            <w:tcW w:w="1327" w:type="dxa"/>
            <w:vAlign w:val="center"/>
          </w:tcPr>
          <w:p>
            <w:pPr>
              <w:pStyle w:val="15"/>
            </w:pPr>
            <w:r>
              <w:t>根据项目实施计划</w:t>
            </w:r>
          </w:p>
        </w:tc>
        <w:tc>
          <w:tcPr>
            <w:tcW w:w="1327" w:type="dxa"/>
            <w:vAlign w:val="center"/>
          </w:tcPr>
          <w:p/>
        </w:tc>
        <w:tc>
          <w:tcPr>
            <w:tcW w:w="1327" w:type="dxa"/>
            <w:vAlign w:val="center"/>
          </w:tcPr>
          <w:p>
            <w:pPr>
              <w:pStyle w:val="15"/>
            </w:pPr>
            <w:r>
              <w:t>2022年12月底前拨付</w:t>
            </w:r>
          </w:p>
        </w:tc>
        <w:tc>
          <w:tcPr>
            <w:tcW w:w="1327" w:type="dxa"/>
            <w:vAlign w:val="center"/>
          </w:tcPr>
          <w:p>
            <w:pPr>
              <w:pStyle w:val="15"/>
            </w:pPr>
            <w:r>
              <w:t>根据项目工作计划及工作安排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≤30万元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基层统计队伍建设</w:t>
            </w:r>
          </w:p>
        </w:tc>
        <w:tc>
          <w:tcPr>
            <w:tcW w:w="1327" w:type="dxa"/>
            <w:vAlign w:val="center"/>
          </w:tcPr>
          <w:p>
            <w:pPr>
              <w:pStyle w:val="15"/>
            </w:pPr>
            <w:r>
              <w:t>解决当前统计力量薄弱、人员素质不高、经费保障不足、规范管理不强等问题</w:t>
            </w:r>
          </w:p>
        </w:tc>
        <w:tc>
          <w:tcPr>
            <w:tcW w:w="1327" w:type="dxa"/>
            <w:vAlign w:val="center"/>
          </w:tcPr>
          <w:p/>
        </w:tc>
        <w:tc>
          <w:tcPr>
            <w:tcW w:w="1327" w:type="dxa"/>
            <w:vAlign w:val="center"/>
          </w:tcPr>
          <w:p>
            <w:pPr>
              <w:pStyle w:val="15"/>
            </w:pPr>
            <w:r>
              <w:t>确保正常工作开展</w:t>
            </w:r>
          </w:p>
        </w:tc>
        <w:tc>
          <w:tcPr>
            <w:tcW w:w="1327" w:type="dxa"/>
            <w:vAlign w:val="center"/>
          </w:tcPr>
          <w:p>
            <w:pPr>
              <w:pStyle w:val="15"/>
            </w:pPr>
            <w:r>
              <w:t>根据项目实施效果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起到确保努力打造一支业务精通、作风扎实、适应统计改革和发展需要的基层统计队伍的作用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乡镇满意度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根据项目满意度调查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7.现代服务业和装备制造业统计经费绩效目标表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13102422P00XE7X10002G</w:t>
            </w:r>
          </w:p>
        </w:tc>
        <w:tc>
          <w:tcPr>
            <w:tcW w:w="1327" w:type="dxa"/>
          </w:tcPr>
          <w:p/>
        </w:tc>
        <w:tc>
          <w:tcPr>
            <w:tcW w:w="1327" w:type="dxa"/>
            <w:vAlign w:val="center"/>
          </w:tcPr>
          <w:p>
            <w:pPr>
              <w:pStyle w:val="14"/>
            </w:pPr>
            <w:r>
              <w:t>项目名称</w:t>
            </w:r>
          </w:p>
        </w:tc>
        <w:tc>
          <w:tcPr>
            <w:tcW w:w="1327" w:type="dxa"/>
            <w:vAlign w:val="center"/>
          </w:tcPr>
          <w:p>
            <w:pPr>
              <w:pStyle w:val="15"/>
            </w:pPr>
            <w:r>
              <w:t>现代服务业和装备制造业统计经费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8.00</w:t>
            </w:r>
          </w:p>
        </w:tc>
        <w:tc>
          <w:tcPr>
            <w:tcW w:w="1327" w:type="dxa"/>
            <w:vAlign w:val="center"/>
          </w:tcPr>
          <w:p>
            <w:pPr>
              <w:pStyle w:val="14"/>
            </w:pPr>
            <w:r>
              <w:t>其中：财政    资金</w:t>
            </w:r>
          </w:p>
        </w:tc>
        <w:tc>
          <w:tcPr>
            <w:tcW w:w="1327" w:type="dxa"/>
            <w:vAlign w:val="center"/>
          </w:tcPr>
          <w:p>
            <w:pPr>
              <w:pStyle w:val="15"/>
            </w:pPr>
            <w:r>
              <w:t>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通过项目的工作部署及工作计划，开展现代服务业和装备制造业工作，开展增加值核算工作建立完善的工作制度，确保应统尽统充分发挥统计部门职能的达成。</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1.通过项目的工作部署及工作计划，开展现代服务业和装备制造业工作，开展增加值核算工作建立完善的工作制度，确保应统尽统充分发挥统计部门职能的达成。</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印刷规下规上企业报表数量</w:t>
            </w:r>
          </w:p>
        </w:tc>
        <w:tc>
          <w:tcPr>
            <w:tcW w:w="1327" w:type="dxa"/>
            <w:vAlign w:val="center"/>
          </w:tcPr>
          <w:p>
            <w:pPr>
              <w:pStyle w:val="15"/>
            </w:pPr>
            <w:r>
              <w:t>规下规上企业报表</w:t>
            </w:r>
          </w:p>
        </w:tc>
        <w:tc>
          <w:tcPr>
            <w:tcW w:w="1327" w:type="dxa"/>
            <w:vAlign w:val="center"/>
          </w:tcPr>
          <w:p/>
        </w:tc>
        <w:tc>
          <w:tcPr>
            <w:tcW w:w="1327" w:type="dxa"/>
            <w:vAlign w:val="center"/>
          </w:tcPr>
          <w:p>
            <w:pPr>
              <w:pStyle w:val="15"/>
            </w:pPr>
            <w:r>
              <w:t>≥3000份</w:t>
            </w:r>
          </w:p>
        </w:tc>
        <w:tc>
          <w:tcPr>
            <w:tcW w:w="1327" w:type="dxa"/>
            <w:vAlign w:val="center"/>
          </w:tcPr>
          <w:p>
            <w:pPr>
              <w:pStyle w:val="15"/>
            </w:pPr>
            <w:r>
              <w:t>《廊坊市人民政府办公室关于开展现代服务业和装备制造业统计工作的通知》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项目验收合格率</w:t>
            </w:r>
          </w:p>
        </w:tc>
        <w:tc>
          <w:tcPr>
            <w:tcW w:w="1327" w:type="dxa"/>
            <w:vAlign w:val="center"/>
          </w:tcPr>
          <w:p>
            <w:pPr>
              <w:pStyle w:val="15"/>
            </w:pPr>
            <w:r>
              <w:t>培训场次、印刷质量合格率</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根据项目实施依据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项目验收工作总结</w:t>
            </w:r>
          </w:p>
        </w:tc>
        <w:tc>
          <w:tcPr>
            <w:tcW w:w="1327" w:type="dxa"/>
            <w:vAlign w:val="center"/>
          </w:tcPr>
          <w:p>
            <w:pPr>
              <w:pStyle w:val="15"/>
            </w:pPr>
            <w:r>
              <w:t>根据项目实施计划</w:t>
            </w:r>
          </w:p>
        </w:tc>
        <w:tc>
          <w:tcPr>
            <w:tcW w:w="1327" w:type="dxa"/>
            <w:vAlign w:val="center"/>
          </w:tcPr>
          <w:p/>
        </w:tc>
        <w:tc>
          <w:tcPr>
            <w:tcW w:w="1327" w:type="dxa"/>
            <w:vAlign w:val="center"/>
          </w:tcPr>
          <w:p>
            <w:pPr>
              <w:pStyle w:val="15"/>
            </w:pPr>
            <w:r>
              <w:t>2022年12月底前</w:t>
            </w:r>
          </w:p>
        </w:tc>
        <w:tc>
          <w:tcPr>
            <w:tcW w:w="1327" w:type="dxa"/>
            <w:vAlign w:val="center"/>
          </w:tcPr>
          <w:p>
            <w:pPr>
              <w:pStyle w:val="15"/>
            </w:pPr>
            <w: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≤8万元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建立现代服务业统计和完善规模以上装备制造业统计</w:t>
            </w:r>
          </w:p>
        </w:tc>
        <w:tc>
          <w:tcPr>
            <w:tcW w:w="1327" w:type="dxa"/>
            <w:vAlign w:val="center"/>
          </w:tcPr>
          <w:p>
            <w:pPr>
              <w:pStyle w:val="15"/>
            </w:pPr>
            <w:r>
              <w:t>开展增加值核算工作建立完善的工作制度，确保应统尽统，充分发挥统计部门职能</w:t>
            </w:r>
          </w:p>
        </w:tc>
        <w:tc>
          <w:tcPr>
            <w:tcW w:w="1327" w:type="dxa"/>
            <w:vAlign w:val="center"/>
          </w:tcPr>
          <w:p/>
        </w:tc>
        <w:tc>
          <w:tcPr>
            <w:tcW w:w="1327" w:type="dxa"/>
            <w:vAlign w:val="center"/>
          </w:tcPr>
          <w:p>
            <w:pPr>
              <w:pStyle w:val="15"/>
            </w:pPr>
            <w:r>
              <w:t>确保应统尽统充分发挥统计部门职能的达成</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起到加强组织、领导和协调调度强化对工作的通盘谋划和整体推进对项目进行保障的作用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sectPr>
          <w:pgSz w:w="11906" w:h="16838"/>
          <w:pgMar w:top="1020" w:right="1361" w:bottom="1020" w:left="1361" w:header="851" w:footer="992" w:gutter="0"/>
          <w:cols w:space="0" w:num="1"/>
          <w:rtlGutter w:val="0"/>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8" w:name="_Toc64920910"/>
      <w:r>
        <w:rPr>
          <w:rFonts w:hint="eastAsia" w:ascii="方正小标宋_GBK" w:eastAsia="方正小标宋_GBK" w:cs="Times New Roman"/>
          <w:sz w:val="32"/>
        </w:rPr>
        <w:t>部门政府采购预算</w:t>
      </w:r>
      <w:bookmarkEnd w:id="8"/>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香河县统计局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8" w:h="11906"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val="en-US" w:eastAsia="zh-CN"/>
              </w:rPr>
              <w:t>统计局</w:t>
            </w:r>
          </w:p>
        </w:tc>
        <w:tc>
          <w:tcPr>
            <w:tcW w:w="5103" w:type="dxa"/>
            <w:tcBorders>
              <w:top w:val="nil"/>
              <w:left w:val="nil"/>
              <w:bottom w:val="nil"/>
              <w:right w:val="nil"/>
            </w:tcBorders>
            <w:shd w:val="clear" w:color="auto" w:fill="auto"/>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sectPr>
          <w:pgSz w:w="16838" w:h="11906" w:orient="landscape"/>
          <w:pgMar w:top="1361" w:right="1020" w:bottom="1361" w:left="1020" w:header="851" w:footer="992" w:gutter="0"/>
          <w:cols w:space="0" w:num="1"/>
          <w:rtlGutter w:val="0"/>
          <w:docGrid w:type="lines" w:linePitch="316" w:charSpace="0"/>
        </w:sectPr>
      </w:pPr>
      <w:bookmarkStart w:id="9" w:name="_GoBack"/>
      <w:bookmarkEnd w:id="9"/>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1906" w:h="16838"/>
      <w:pgMar w:top="1020" w:right="1361" w:bottom="1020" w:left="1361"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RlM2ZlYTA1YjQ5NjRhNThhNmQxYWM1Njc5Mjk2Yzk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1C7F1247"/>
    <w:rsid w:val="726D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7653</Words>
  <Characters>8282</Characters>
  <Lines>23</Lines>
  <Paragraphs>6</Paragraphs>
  <TotalTime>30</TotalTime>
  <ScaleCrop>false</ScaleCrop>
  <LinksUpToDate>false</LinksUpToDate>
  <CharactersWithSpaces>8349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2023-09-25T02:20:31Z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CA787540D5FF471C83F2DF62A93662C1</vt:lpwstr>
  </property>
</Properties>
</file>